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9936F" w14:textId="77777777" w:rsidR="003375BE" w:rsidRPr="00355AD5" w:rsidRDefault="00355AD5" w:rsidP="00355AD5">
      <w:pPr>
        <w:pStyle w:val="1"/>
        <w:ind w:left="928" w:hanging="360"/>
        <w:rPr>
          <w:rFonts w:eastAsiaTheme="minorHAnsi"/>
          <w:b/>
          <w:sz w:val="24"/>
          <w:szCs w:val="24"/>
        </w:rPr>
      </w:pPr>
      <w:bookmarkStart w:id="0" w:name="OLE_LINK17"/>
      <w:bookmarkStart w:id="1" w:name="OLE_LINK122"/>
      <w:bookmarkStart w:id="2" w:name="OLE_LINK121"/>
      <w:r>
        <w:rPr>
          <w:rFonts w:eastAsiaTheme="minorHAnsi"/>
          <w:b/>
          <w:sz w:val="24"/>
          <w:szCs w:val="24"/>
          <w:lang w:val="en-US"/>
        </w:rPr>
        <w:t>C</w:t>
      </w:r>
      <w:r w:rsidRPr="00355AD5">
        <w:rPr>
          <w:rFonts w:eastAsiaTheme="minorHAnsi"/>
          <w:b/>
          <w:sz w:val="24"/>
          <w:szCs w:val="24"/>
        </w:rPr>
        <w:t>limate change</w:t>
      </w:r>
    </w:p>
    <w:bookmarkEnd w:id="0"/>
    <w:p w14:paraId="2B69BE13" w14:textId="77777777" w:rsidR="003375BE" w:rsidRDefault="00355AD5" w:rsidP="003375BE">
      <w:pPr>
        <w:pStyle w:val="1ERG"/>
        <w:numPr>
          <w:ilvl w:val="0"/>
          <w:numId w:val="0"/>
        </w:numPr>
        <w:rPr>
          <w:sz w:val="24"/>
          <w:szCs w:val="24"/>
          <w:lang w:val="en-US"/>
        </w:rPr>
      </w:pPr>
      <w:r w:rsidRPr="00355AD5">
        <w:rPr>
          <w:sz w:val="24"/>
          <w:szCs w:val="24"/>
          <w:lang w:val="en-US"/>
        </w:rPr>
        <w:t xml:space="preserve">Climate change is a pressing issue of our time and the Group joins the world consensus on the importance and urgency of the </w:t>
      </w:r>
      <w:r w:rsidR="008506B3" w:rsidRPr="00355AD5">
        <w:rPr>
          <w:sz w:val="24"/>
          <w:szCs w:val="24"/>
          <w:lang w:val="en-US"/>
        </w:rPr>
        <w:t>decarb</w:t>
      </w:r>
      <w:r w:rsidR="008506B3">
        <w:rPr>
          <w:sz w:val="24"/>
          <w:szCs w:val="24"/>
          <w:lang w:val="en-US"/>
        </w:rPr>
        <w:t>urization</w:t>
      </w:r>
      <w:r>
        <w:rPr>
          <w:sz w:val="24"/>
          <w:szCs w:val="24"/>
          <w:lang w:val="en-US"/>
        </w:rPr>
        <w:t xml:space="preserve"> of the global economy</w:t>
      </w:r>
      <w:r w:rsidRPr="00355AD5">
        <w:rPr>
          <w:sz w:val="24"/>
          <w:szCs w:val="24"/>
          <w:lang w:val="en-US"/>
        </w:rPr>
        <w:t>.</w:t>
      </w:r>
    </w:p>
    <w:p w14:paraId="12ADB3F3" w14:textId="77777777" w:rsidR="00355AD5" w:rsidRPr="00355AD5" w:rsidRDefault="00355AD5" w:rsidP="003375BE">
      <w:pPr>
        <w:pStyle w:val="1ERG"/>
        <w:numPr>
          <w:ilvl w:val="0"/>
          <w:numId w:val="0"/>
        </w:numPr>
        <w:rPr>
          <w:sz w:val="24"/>
          <w:szCs w:val="24"/>
          <w:lang w:val="en-US"/>
        </w:rPr>
      </w:pPr>
    </w:p>
    <w:p w14:paraId="2CDD2AF9" w14:textId="40B2F5FE" w:rsidR="003375BE" w:rsidRDefault="00CA4F39" w:rsidP="003375BE">
      <w:pPr>
        <w:pStyle w:val="1ERG"/>
        <w:numPr>
          <w:ilvl w:val="0"/>
          <w:numId w:val="0"/>
        </w:numPr>
        <w:rPr>
          <w:sz w:val="24"/>
          <w:szCs w:val="24"/>
          <w:lang w:val="en-US"/>
        </w:rPr>
      </w:pPr>
      <w:r w:rsidRPr="00CA4F39">
        <w:rPr>
          <w:sz w:val="24"/>
          <w:szCs w:val="24"/>
          <w:lang w:val="en-US"/>
        </w:rPr>
        <w:t>The Group fully supports the global climate change objectives set out in the UNFCCC and the Paris Agreement to keep global average temperature increases well below 2°C above pre-industrial levels and efforts to limit temperature increases to 1.5°C by the second half of this century, and believes that these objectives can be achieved through collective global effort and action. The Group is committed to playing its part in meeting this challenge, including through our role in supplying metals such as manganese</w:t>
      </w:r>
      <w:r w:rsidR="00F14286">
        <w:rPr>
          <w:sz w:val="24"/>
          <w:szCs w:val="24"/>
          <w:lang w:val="en-US"/>
        </w:rPr>
        <w:t>,</w:t>
      </w:r>
      <w:r w:rsidRPr="00CA4F39">
        <w:rPr>
          <w:sz w:val="24"/>
          <w:szCs w:val="24"/>
          <w:lang w:val="en-US"/>
        </w:rPr>
        <w:t xml:space="preserve"> aluminium</w:t>
      </w:r>
      <w:bookmarkStart w:id="3" w:name="_GoBack"/>
      <w:bookmarkEnd w:id="3"/>
      <w:r w:rsidRPr="00CA4F39">
        <w:rPr>
          <w:sz w:val="24"/>
          <w:szCs w:val="24"/>
          <w:lang w:val="en-US"/>
        </w:rPr>
        <w:t xml:space="preserve">, </w:t>
      </w:r>
      <w:r w:rsidR="00F14286">
        <w:rPr>
          <w:sz w:val="24"/>
          <w:szCs w:val="24"/>
          <w:lang w:val="en-US"/>
        </w:rPr>
        <w:t>cobalt and copper, to</w:t>
      </w:r>
      <w:r w:rsidRPr="00CA4F39">
        <w:rPr>
          <w:sz w:val="24"/>
          <w:szCs w:val="24"/>
          <w:lang w:val="en-US"/>
        </w:rPr>
        <w:t xml:space="preserve"> help ensure a global transition to a lower greenhouse gas economy.</w:t>
      </w:r>
    </w:p>
    <w:p w14:paraId="3BC6670D" w14:textId="77777777" w:rsidR="00CA4F39" w:rsidRPr="00CA4F39" w:rsidRDefault="00CA4F39" w:rsidP="003375BE">
      <w:pPr>
        <w:pStyle w:val="1ERG"/>
        <w:numPr>
          <w:ilvl w:val="0"/>
          <w:numId w:val="0"/>
        </w:numPr>
        <w:rPr>
          <w:sz w:val="24"/>
          <w:szCs w:val="24"/>
          <w:lang w:val="en-US"/>
        </w:rPr>
      </w:pPr>
    </w:p>
    <w:p w14:paraId="456C3A56" w14:textId="77777777" w:rsidR="003375BE" w:rsidRDefault="00CA4F39" w:rsidP="003375BE">
      <w:pPr>
        <w:pStyle w:val="1ERG"/>
        <w:numPr>
          <w:ilvl w:val="0"/>
          <w:numId w:val="0"/>
        </w:numPr>
        <w:rPr>
          <w:sz w:val="24"/>
          <w:szCs w:val="24"/>
          <w:lang w:val="en-US"/>
        </w:rPr>
      </w:pPr>
      <w:r w:rsidRPr="00CA4F39">
        <w:rPr>
          <w:sz w:val="24"/>
          <w:szCs w:val="24"/>
          <w:lang w:val="en-US"/>
        </w:rPr>
        <w:t>The mining and metals sectors are facing increasing scrutiny over their carbon footprint from external stakeholders - investors, financial services providers, customers and governments.</w:t>
      </w:r>
    </w:p>
    <w:p w14:paraId="6406BC33" w14:textId="77777777" w:rsidR="00CA4F39" w:rsidRPr="00CA4F39" w:rsidRDefault="00CA4F39" w:rsidP="003375BE">
      <w:pPr>
        <w:pStyle w:val="1ERG"/>
        <w:numPr>
          <w:ilvl w:val="0"/>
          <w:numId w:val="0"/>
        </w:numPr>
        <w:rPr>
          <w:sz w:val="24"/>
          <w:szCs w:val="24"/>
          <w:lang w:val="en-US"/>
        </w:rPr>
      </w:pPr>
    </w:p>
    <w:p w14:paraId="716ECAE3" w14:textId="77777777" w:rsidR="003375BE" w:rsidRPr="00CA4F39" w:rsidRDefault="00CA4F39" w:rsidP="003375BE">
      <w:pPr>
        <w:pStyle w:val="1ERG"/>
        <w:numPr>
          <w:ilvl w:val="0"/>
          <w:numId w:val="0"/>
        </w:numPr>
        <w:rPr>
          <w:sz w:val="24"/>
          <w:szCs w:val="24"/>
          <w:lang w:val="en-US"/>
        </w:rPr>
      </w:pPr>
      <w:bookmarkStart w:id="4" w:name="OLE_LINK24"/>
      <w:bookmarkStart w:id="5" w:name="OLE_LINK25"/>
      <w:r w:rsidRPr="00CA4F39">
        <w:rPr>
          <w:sz w:val="24"/>
          <w:szCs w:val="24"/>
          <w:lang w:val="en-US"/>
        </w:rPr>
        <w:t>In order to excel, the aims of the Group are:</w:t>
      </w:r>
    </w:p>
    <w:p w14:paraId="426A68EA" w14:textId="77777777" w:rsidR="003375BE" w:rsidRPr="001C6A2B" w:rsidRDefault="001C6A2B" w:rsidP="00E30E11">
      <w:pPr>
        <w:pStyle w:val="-1ERG"/>
        <w:numPr>
          <w:ilvl w:val="0"/>
          <w:numId w:val="2"/>
        </w:numPr>
        <w:ind w:left="0" w:firstLine="851"/>
        <w:rPr>
          <w:lang w:val="en-US"/>
        </w:rPr>
      </w:pPr>
      <w:bookmarkStart w:id="6" w:name="OLE_LINK26"/>
      <w:bookmarkStart w:id="7" w:name="OLE_LINK27"/>
      <w:bookmarkEnd w:id="4"/>
      <w:bookmarkEnd w:id="5"/>
      <w:r w:rsidRPr="001C6A2B">
        <w:rPr>
          <w:lang w:val="en-US"/>
        </w:rPr>
        <w:t>establishment of an effective management system fo</w:t>
      </w:r>
      <w:r w:rsidR="00E30E11">
        <w:rPr>
          <w:lang w:val="en-US"/>
        </w:rPr>
        <w:t xml:space="preserve">r the Group's activities in the </w:t>
      </w:r>
      <w:r w:rsidRPr="001C6A2B">
        <w:rPr>
          <w:lang w:val="en-US"/>
        </w:rPr>
        <w:t>context of climate change:</w:t>
      </w:r>
    </w:p>
    <w:p w14:paraId="0747BBFE" w14:textId="77777777" w:rsidR="001C6A2B" w:rsidRPr="001C6A2B" w:rsidRDefault="001C6A2B" w:rsidP="001C6A2B">
      <w:pPr>
        <w:pStyle w:val="-1ERG"/>
        <w:numPr>
          <w:ilvl w:val="0"/>
          <w:numId w:val="0"/>
        </w:numPr>
        <w:ind w:firstLine="851"/>
        <w:rPr>
          <w:lang w:val="en-US"/>
        </w:rPr>
      </w:pPr>
      <w:bookmarkStart w:id="8" w:name="OLE_LINK28"/>
      <w:bookmarkStart w:id="9" w:name="OLE_LINK29"/>
      <w:bookmarkEnd w:id="6"/>
      <w:bookmarkEnd w:id="7"/>
      <w:r w:rsidRPr="001C6A2B">
        <w:rPr>
          <w:lang w:val="en-US"/>
        </w:rPr>
        <w:t>b) formation of a responsible unified approach of the Group regarding the management of risks related to anthropogenic climate change and adaptation to the changes;</w:t>
      </w:r>
    </w:p>
    <w:p w14:paraId="6603B0B9" w14:textId="77777777" w:rsidR="001C6A2B" w:rsidRPr="001C6A2B" w:rsidRDefault="001C6A2B" w:rsidP="001C6A2B">
      <w:pPr>
        <w:pStyle w:val="-1ERG"/>
        <w:numPr>
          <w:ilvl w:val="0"/>
          <w:numId w:val="0"/>
        </w:numPr>
        <w:ind w:firstLine="851"/>
        <w:rPr>
          <w:lang w:val="en-US"/>
        </w:rPr>
      </w:pPr>
      <w:r w:rsidRPr="001C6A2B">
        <w:rPr>
          <w:lang w:val="en-US"/>
        </w:rPr>
        <w:t>c) developing effective communications with internal and external stakeholders on the Group's climate change strategy, including achieving carbon neutrality in the long term;</w:t>
      </w:r>
    </w:p>
    <w:p w14:paraId="369FA4EA" w14:textId="77777777" w:rsidR="001C6A2B" w:rsidRPr="001C6A2B" w:rsidRDefault="001C6A2B" w:rsidP="001C6A2B">
      <w:pPr>
        <w:pStyle w:val="-1ERG"/>
        <w:numPr>
          <w:ilvl w:val="0"/>
          <w:numId w:val="0"/>
        </w:numPr>
        <w:ind w:firstLine="851"/>
        <w:rPr>
          <w:lang w:val="en-US"/>
        </w:rPr>
      </w:pPr>
      <w:r w:rsidRPr="001C6A2B">
        <w:rPr>
          <w:lang w:val="en-US"/>
        </w:rPr>
        <w:t>d) raising awareness within the Group on the key global climate change issue.</w:t>
      </w:r>
    </w:p>
    <w:p w14:paraId="25867A94" w14:textId="77777777" w:rsidR="001C6A2B" w:rsidRPr="001C6A2B" w:rsidRDefault="001C6A2B" w:rsidP="001C6A2B">
      <w:pPr>
        <w:pStyle w:val="-1ERG"/>
        <w:numPr>
          <w:ilvl w:val="0"/>
          <w:numId w:val="0"/>
        </w:numPr>
        <w:ind w:firstLine="851"/>
        <w:rPr>
          <w:lang w:val="en-US"/>
        </w:rPr>
      </w:pPr>
    </w:p>
    <w:p w14:paraId="331943E0" w14:textId="77777777" w:rsidR="003375BE" w:rsidRPr="00E30E11" w:rsidRDefault="00E30E11" w:rsidP="00E30E11">
      <w:pPr>
        <w:pStyle w:val="1"/>
        <w:ind w:left="928" w:hanging="360"/>
        <w:rPr>
          <w:rFonts w:eastAsiaTheme="minorHAnsi"/>
          <w:b/>
          <w:sz w:val="24"/>
          <w:szCs w:val="24"/>
        </w:rPr>
      </w:pPr>
      <w:bookmarkStart w:id="10" w:name="OLE_LINK32"/>
      <w:bookmarkEnd w:id="1"/>
      <w:bookmarkEnd w:id="2"/>
      <w:bookmarkEnd w:id="8"/>
      <w:bookmarkEnd w:id="9"/>
      <w:r w:rsidRPr="00E30E11">
        <w:rPr>
          <w:rFonts w:eastAsiaTheme="minorHAnsi"/>
          <w:b/>
          <w:sz w:val="24"/>
          <w:szCs w:val="24"/>
        </w:rPr>
        <w:t>Principles</w:t>
      </w:r>
    </w:p>
    <w:p w14:paraId="6B4DC67C" w14:textId="77777777" w:rsidR="003375BE" w:rsidRPr="00E30E11" w:rsidRDefault="00E30E11" w:rsidP="00E30E11">
      <w:pPr>
        <w:pStyle w:val="-2ERG"/>
        <w:ind w:left="786" w:hanging="360"/>
        <w:rPr>
          <w:rFonts w:eastAsiaTheme="minorHAnsi"/>
          <w:sz w:val="24"/>
          <w:szCs w:val="24"/>
        </w:rPr>
      </w:pPr>
      <w:bookmarkStart w:id="11" w:name="OLE_LINK33"/>
      <w:bookmarkStart w:id="12" w:name="OLE_LINK34"/>
      <w:bookmarkEnd w:id="10"/>
      <w:r w:rsidRPr="00E30E11">
        <w:rPr>
          <w:sz w:val="24"/>
          <w:szCs w:val="24"/>
        </w:rPr>
        <w:t>Enhancing climate resilience</w:t>
      </w:r>
    </w:p>
    <w:p w14:paraId="21C46248" w14:textId="77777777" w:rsidR="003375BE" w:rsidRPr="00E30E11" w:rsidRDefault="00E30E11" w:rsidP="003375BE">
      <w:pPr>
        <w:pStyle w:val="2ERG"/>
        <w:numPr>
          <w:ilvl w:val="0"/>
          <w:numId w:val="0"/>
        </w:numPr>
        <w:ind w:left="567"/>
        <w:rPr>
          <w:sz w:val="24"/>
          <w:szCs w:val="24"/>
          <w:lang w:val="en-US"/>
        </w:rPr>
      </w:pPr>
      <w:bookmarkStart w:id="13" w:name="OLE_LINK35"/>
      <w:bookmarkEnd w:id="11"/>
      <w:bookmarkEnd w:id="12"/>
      <w:r w:rsidRPr="00E30E11">
        <w:rPr>
          <w:sz w:val="24"/>
          <w:szCs w:val="24"/>
          <w:lang w:val="en-US"/>
        </w:rPr>
        <w:t>The Group intends to:</w:t>
      </w:r>
    </w:p>
    <w:p w14:paraId="05FB38E7" w14:textId="77777777" w:rsidR="00AA59E6" w:rsidRPr="00AA59E6" w:rsidRDefault="00AA59E6" w:rsidP="00AA59E6">
      <w:pPr>
        <w:pStyle w:val="-1ERG"/>
        <w:numPr>
          <w:ilvl w:val="0"/>
          <w:numId w:val="0"/>
        </w:numPr>
        <w:ind w:firstLine="851"/>
        <w:rPr>
          <w:lang w:val="en-US"/>
        </w:rPr>
      </w:pPr>
      <w:bookmarkStart w:id="14" w:name="OLE_LINK36"/>
      <w:bookmarkEnd w:id="13"/>
      <w:r w:rsidRPr="00AA59E6">
        <w:rPr>
          <w:lang w:val="en-US"/>
        </w:rPr>
        <w:t>a) ensure that operations comply with current and/or future climate and GHG emission regulations adopted in the regions in which the Group operates;</w:t>
      </w:r>
    </w:p>
    <w:p w14:paraId="11C2BA1B" w14:textId="77777777" w:rsidR="00AA59E6" w:rsidRPr="00AA59E6" w:rsidRDefault="00AA59E6" w:rsidP="00AA59E6">
      <w:pPr>
        <w:pStyle w:val="-1ERG"/>
        <w:numPr>
          <w:ilvl w:val="0"/>
          <w:numId w:val="0"/>
        </w:numPr>
        <w:ind w:firstLine="851"/>
        <w:rPr>
          <w:lang w:val="en-US"/>
        </w:rPr>
      </w:pPr>
      <w:r w:rsidRPr="00AA59E6">
        <w:rPr>
          <w:lang w:val="en-US"/>
        </w:rPr>
        <w:t>b) consider the cost of GHG emissions in business decisions throughout the Group's value chain;</w:t>
      </w:r>
    </w:p>
    <w:p w14:paraId="766A5C85" w14:textId="77777777" w:rsidR="00AA59E6" w:rsidRPr="00AA59E6" w:rsidRDefault="00AA59E6" w:rsidP="00AA59E6">
      <w:pPr>
        <w:pStyle w:val="-1ERG"/>
        <w:numPr>
          <w:ilvl w:val="0"/>
          <w:numId w:val="0"/>
        </w:numPr>
        <w:ind w:firstLine="851"/>
        <w:rPr>
          <w:lang w:val="en-US"/>
        </w:rPr>
      </w:pPr>
      <w:r w:rsidRPr="00AA59E6">
        <w:rPr>
          <w:lang w:val="en-US"/>
        </w:rPr>
        <w:t>c) use carbon trading markets (emission permits and/or GHG reduction effects) to reduce potential costs associated with environmental and climate regulation;</w:t>
      </w:r>
    </w:p>
    <w:p w14:paraId="696C5BCA" w14:textId="77777777" w:rsidR="00AA59E6" w:rsidRPr="00AA59E6" w:rsidRDefault="00AA59E6" w:rsidP="00AA59E6">
      <w:pPr>
        <w:pStyle w:val="-1ERG"/>
        <w:numPr>
          <w:ilvl w:val="0"/>
          <w:numId w:val="0"/>
        </w:numPr>
        <w:ind w:firstLine="851"/>
        <w:rPr>
          <w:lang w:val="en-US"/>
        </w:rPr>
      </w:pPr>
      <w:r w:rsidRPr="00AA59E6">
        <w:rPr>
          <w:lang w:val="en-US"/>
        </w:rPr>
        <w:t>d) identify the potential long-term impact of climate change on the Group's operations and develop the necessary responses, taking into account the potential impact on local communities in the regions where we operate.</w:t>
      </w:r>
    </w:p>
    <w:p w14:paraId="7D0A4FC9" w14:textId="77777777" w:rsidR="003375BE" w:rsidRPr="00AA59E6" w:rsidRDefault="00AA59E6" w:rsidP="00AA59E6">
      <w:pPr>
        <w:pStyle w:val="-2ERG"/>
        <w:ind w:left="786" w:hanging="360"/>
        <w:rPr>
          <w:sz w:val="24"/>
          <w:szCs w:val="24"/>
          <w:lang w:val="en-US"/>
        </w:rPr>
      </w:pPr>
      <w:bookmarkStart w:id="15" w:name="OLE_LINK37"/>
      <w:bookmarkEnd w:id="14"/>
      <w:r w:rsidRPr="00AA59E6">
        <w:rPr>
          <w:sz w:val="24"/>
          <w:szCs w:val="24"/>
          <w:lang w:val="en-US"/>
        </w:rPr>
        <w:t>Reducing the carbon footprint over the life cycle of our products</w:t>
      </w:r>
    </w:p>
    <w:p w14:paraId="0FA3D872" w14:textId="77777777" w:rsidR="003375BE" w:rsidRPr="00AA59E6" w:rsidRDefault="00AA59E6" w:rsidP="00AA59E6">
      <w:pPr>
        <w:pStyle w:val="2ERG"/>
        <w:numPr>
          <w:ilvl w:val="0"/>
          <w:numId w:val="0"/>
        </w:numPr>
        <w:ind w:left="567"/>
        <w:rPr>
          <w:sz w:val="24"/>
          <w:szCs w:val="24"/>
          <w:lang w:val="en-US"/>
        </w:rPr>
      </w:pPr>
      <w:bookmarkStart w:id="16" w:name="OLE_LINK43"/>
      <w:bookmarkEnd w:id="15"/>
      <w:r>
        <w:rPr>
          <w:sz w:val="24"/>
          <w:szCs w:val="24"/>
          <w:lang w:val="en-US"/>
        </w:rPr>
        <w:t>The Group intends to:</w:t>
      </w:r>
    </w:p>
    <w:p w14:paraId="1BB33BCC" w14:textId="77777777" w:rsidR="009F30AC" w:rsidRPr="009F30AC" w:rsidRDefault="009F30AC" w:rsidP="009F30AC">
      <w:pPr>
        <w:pStyle w:val="-1ERG"/>
        <w:numPr>
          <w:ilvl w:val="0"/>
          <w:numId w:val="0"/>
        </w:numPr>
        <w:ind w:firstLine="851"/>
        <w:rPr>
          <w:lang w:val="en-US"/>
        </w:rPr>
      </w:pPr>
      <w:bookmarkStart w:id="17" w:name="OLE_LINK40"/>
      <w:bookmarkEnd w:id="16"/>
      <w:r w:rsidRPr="009F30AC">
        <w:rPr>
          <w:lang w:val="en-US"/>
        </w:rPr>
        <w:t xml:space="preserve">a) </w:t>
      </w:r>
      <w:r>
        <w:t>с</w:t>
      </w:r>
      <w:r w:rsidRPr="009F30AC">
        <w:rPr>
          <w:lang w:val="en-US"/>
        </w:rPr>
        <w:t>arry out carbon footprint calculations (scopes 1, 2 and 3) for major types of commodities;</w:t>
      </w:r>
    </w:p>
    <w:p w14:paraId="4609C54B" w14:textId="77777777" w:rsidR="009F30AC" w:rsidRPr="009F30AC" w:rsidRDefault="009F30AC" w:rsidP="009F30AC">
      <w:pPr>
        <w:pStyle w:val="-1ERG"/>
        <w:numPr>
          <w:ilvl w:val="0"/>
          <w:numId w:val="0"/>
        </w:numPr>
        <w:ind w:firstLine="851"/>
        <w:rPr>
          <w:lang w:val="en-US"/>
        </w:rPr>
      </w:pPr>
      <w:r w:rsidRPr="009F30AC">
        <w:rPr>
          <w:lang w:val="en-US"/>
        </w:rPr>
        <w:t>b) set reasonable medium and long-term targets for GHG emission reductions, up to and including carbon neutrality, aiming to approach zero emissions by 2050, taking into account capture and sequestration;</w:t>
      </w:r>
    </w:p>
    <w:p w14:paraId="7FE2B352" w14:textId="77777777" w:rsidR="009F30AC" w:rsidRPr="009F30AC" w:rsidRDefault="009F30AC" w:rsidP="009F30AC">
      <w:pPr>
        <w:pStyle w:val="-1ERG"/>
        <w:numPr>
          <w:ilvl w:val="0"/>
          <w:numId w:val="0"/>
        </w:numPr>
        <w:ind w:firstLine="851"/>
        <w:rPr>
          <w:lang w:val="en-US"/>
        </w:rPr>
      </w:pPr>
      <w:r w:rsidRPr="009F30AC">
        <w:rPr>
          <w:lang w:val="en-US"/>
        </w:rPr>
        <w:t>c) develop a portfolio of renewable energy projects as low-carbon sources of energy for current and future activities;</w:t>
      </w:r>
    </w:p>
    <w:p w14:paraId="37065244" w14:textId="77777777" w:rsidR="009F30AC" w:rsidRPr="009F30AC" w:rsidRDefault="00A148C5" w:rsidP="009F30AC">
      <w:pPr>
        <w:pStyle w:val="-1ERG"/>
        <w:numPr>
          <w:ilvl w:val="0"/>
          <w:numId w:val="0"/>
        </w:numPr>
        <w:ind w:firstLine="851"/>
        <w:rPr>
          <w:lang w:val="en-US"/>
        </w:rPr>
      </w:pPr>
      <w:r>
        <w:rPr>
          <w:lang w:val="en-US"/>
        </w:rPr>
        <w:lastRenderedPageBreak/>
        <w:t>d) i</w:t>
      </w:r>
      <w:r w:rsidR="009F30AC" w:rsidRPr="009F30AC">
        <w:rPr>
          <w:lang w:val="en-US"/>
        </w:rPr>
        <w:t>dentify and prioritize, based on the principle of technological neutrality, opportunities for reducing the carbon footprint, including energy, resource and waste efficiency measures for major industries;</w:t>
      </w:r>
    </w:p>
    <w:p w14:paraId="088ECFC0" w14:textId="77777777" w:rsidR="009F30AC" w:rsidRPr="009F30AC" w:rsidRDefault="009F30AC" w:rsidP="009F30AC">
      <w:pPr>
        <w:pStyle w:val="-1ERG"/>
        <w:numPr>
          <w:ilvl w:val="0"/>
          <w:numId w:val="0"/>
        </w:numPr>
        <w:ind w:firstLine="851"/>
        <w:rPr>
          <w:lang w:val="en-US"/>
        </w:rPr>
      </w:pPr>
      <w:r w:rsidRPr="009F30AC">
        <w:rPr>
          <w:lang w:val="en-US"/>
        </w:rPr>
        <w:t>e) calculate Scope 3 emissions and, through enhanced communication, encourage our partners, contractors and suppliers to assess and reduce their carbon footprint.</w:t>
      </w:r>
    </w:p>
    <w:p w14:paraId="69C4B271" w14:textId="77777777" w:rsidR="003375BE" w:rsidRPr="00A148C5" w:rsidRDefault="00A148C5" w:rsidP="00A148C5">
      <w:pPr>
        <w:pStyle w:val="-2ERG"/>
        <w:ind w:left="786" w:hanging="360"/>
        <w:rPr>
          <w:sz w:val="24"/>
          <w:szCs w:val="24"/>
          <w:lang w:val="en-US"/>
        </w:rPr>
      </w:pPr>
      <w:bookmarkStart w:id="18" w:name="OLE_LINK41"/>
      <w:bookmarkStart w:id="19" w:name="OLE_LINK42"/>
      <w:bookmarkEnd w:id="17"/>
      <w:r w:rsidRPr="00A148C5">
        <w:rPr>
          <w:sz w:val="24"/>
          <w:szCs w:val="24"/>
          <w:lang w:val="en-US"/>
        </w:rPr>
        <w:t>Mainstreaming climate change into strategy and decision-making</w:t>
      </w:r>
    </w:p>
    <w:p w14:paraId="39FE9402" w14:textId="77777777" w:rsidR="003375BE" w:rsidRPr="00A148C5" w:rsidRDefault="00A148C5" w:rsidP="00A148C5">
      <w:pPr>
        <w:pStyle w:val="2ERG"/>
        <w:numPr>
          <w:ilvl w:val="0"/>
          <w:numId w:val="0"/>
        </w:numPr>
        <w:ind w:left="567"/>
        <w:rPr>
          <w:sz w:val="24"/>
          <w:szCs w:val="24"/>
          <w:lang w:val="en-US"/>
        </w:rPr>
      </w:pPr>
      <w:bookmarkStart w:id="20" w:name="OLE_LINK48"/>
      <w:bookmarkEnd w:id="18"/>
      <w:bookmarkEnd w:id="19"/>
      <w:r>
        <w:rPr>
          <w:sz w:val="24"/>
          <w:szCs w:val="24"/>
          <w:lang w:val="en-US"/>
        </w:rPr>
        <w:t>The Group intends to:</w:t>
      </w:r>
    </w:p>
    <w:p w14:paraId="7680ED56" w14:textId="77777777" w:rsidR="00495FE6" w:rsidRPr="00495FE6" w:rsidRDefault="00495FE6" w:rsidP="00495FE6">
      <w:pPr>
        <w:pStyle w:val="-1ERG"/>
        <w:numPr>
          <w:ilvl w:val="0"/>
          <w:numId w:val="0"/>
        </w:numPr>
        <w:ind w:firstLine="851"/>
        <w:rPr>
          <w:lang w:val="en-US"/>
        </w:rPr>
      </w:pPr>
      <w:bookmarkStart w:id="21" w:name="OLE_LINK44"/>
      <w:bookmarkStart w:id="22" w:name="OLE_LINK45"/>
      <w:bookmarkEnd w:id="20"/>
      <w:r w:rsidRPr="00495FE6">
        <w:rPr>
          <w:lang w:val="en-US"/>
        </w:rPr>
        <w:t>a) identify, assess the risks and opportunities associated with climate change and the transition to a lower carbon economy, followed by the development of a risk management strategy based on the objective of reducing the Group's contribution to the planet's climate impact;</w:t>
      </w:r>
    </w:p>
    <w:p w14:paraId="4B1DE990" w14:textId="77777777" w:rsidR="00495FE6" w:rsidRPr="00495FE6" w:rsidRDefault="00495FE6" w:rsidP="00495FE6">
      <w:pPr>
        <w:pStyle w:val="-1ERG"/>
        <w:numPr>
          <w:ilvl w:val="0"/>
          <w:numId w:val="0"/>
        </w:numPr>
        <w:ind w:firstLine="851"/>
        <w:rPr>
          <w:lang w:val="en-US"/>
        </w:rPr>
      </w:pPr>
      <w:r w:rsidRPr="00495FE6">
        <w:rPr>
          <w:lang w:val="en-US"/>
        </w:rPr>
        <w:t>b) ensure that climate change considerations are incorporated into decision-making throughout the Group's value chain;</w:t>
      </w:r>
    </w:p>
    <w:p w14:paraId="559613C0" w14:textId="77777777" w:rsidR="00495FE6" w:rsidRPr="00495FE6" w:rsidRDefault="00495FE6" w:rsidP="00495FE6">
      <w:pPr>
        <w:pStyle w:val="-1ERG"/>
        <w:numPr>
          <w:ilvl w:val="0"/>
          <w:numId w:val="0"/>
        </w:numPr>
        <w:ind w:firstLine="851"/>
        <w:rPr>
          <w:lang w:val="en-US"/>
        </w:rPr>
      </w:pPr>
      <w:r w:rsidRPr="00495FE6">
        <w:rPr>
          <w:lang w:val="en-US"/>
        </w:rPr>
        <w:t>c) develop the knowledge base and expertise on climate change.</w:t>
      </w:r>
    </w:p>
    <w:p w14:paraId="79808FCD" w14:textId="77777777" w:rsidR="003375BE" w:rsidRPr="00495FE6" w:rsidRDefault="00495FE6" w:rsidP="00495FE6">
      <w:pPr>
        <w:pStyle w:val="-2ERG"/>
        <w:ind w:left="786" w:hanging="360"/>
        <w:rPr>
          <w:sz w:val="24"/>
          <w:szCs w:val="24"/>
          <w:lang w:val="en-US"/>
        </w:rPr>
      </w:pPr>
      <w:bookmarkStart w:id="23" w:name="OLE_LINK46"/>
      <w:bookmarkStart w:id="24" w:name="OLE_LINK47"/>
      <w:bookmarkEnd w:id="21"/>
      <w:bookmarkEnd w:id="22"/>
      <w:r w:rsidRPr="00495FE6">
        <w:rPr>
          <w:sz w:val="24"/>
          <w:szCs w:val="24"/>
          <w:lang w:val="en-US"/>
        </w:rPr>
        <w:t>Accelerating the transition to a low-GHG economy through stakeholder collaboration and partnerships</w:t>
      </w:r>
    </w:p>
    <w:p w14:paraId="5419B09F" w14:textId="77777777" w:rsidR="003375BE" w:rsidRPr="00495FE6" w:rsidRDefault="00495FE6" w:rsidP="00495FE6">
      <w:pPr>
        <w:pStyle w:val="2ERG"/>
        <w:numPr>
          <w:ilvl w:val="0"/>
          <w:numId w:val="0"/>
        </w:numPr>
        <w:ind w:left="567"/>
        <w:rPr>
          <w:sz w:val="24"/>
          <w:szCs w:val="24"/>
          <w:lang w:val="en-US"/>
        </w:rPr>
      </w:pPr>
      <w:bookmarkStart w:id="25" w:name="OLE_LINK54"/>
      <w:bookmarkStart w:id="26" w:name="OLE_LINK55"/>
      <w:bookmarkEnd w:id="23"/>
      <w:bookmarkEnd w:id="24"/>
      <w:r>
        <w:rPr>
          <w:sz w:val="24"/>
          <w:szCs w:val="24"/>
          <w:lang w:val="en-US"/>
        </w:rPr>
        <w:t>The Group intends to:</w:t>
      </w:r>
    </w:p>
    <w:p w14:paraId="7899950E" w14:textId="77777777" w:rsidR="0093185E" w:rsidRPr="0093185E" w:rsidRDefault="0093185E" w:rsidP="00CA1275">
      <w:pPr>
        <w:pStyle w:val="-1ERG"/>
        <w:numPr>
          <w:ilvl w:val="0"/>
          <w:numId w:val="0"/>
        </w:numPr>
        <w:ind w:firstLine="851"/>
        <w:rPr>
          <w:lang w:val="en-US"/>
        </w:rPr>
      </w:pPr>
      <w:bookmarkStart w:id="27" w:name="OLE_LINK49"/>
      <w:bookmarkStart w:id="28" w:name="OLE_LINK50"/>
      <w:bookmarkEnd w:id="25"/>
      <w:bookmarkEnd w:id="26"/>
      <w:r w:rsidRPr="0093185E">
        <w:rPr>
          <w:lang w:val="en-US"/>
        </w:rPr>
        <w:t>a) play a leading role in stimulating GHG emission reductions by our partners and contractors along the entire value chain, primarily by communicating the Group's priorities for reducing anthropogenic impacts on climate change to counterparties;</w:t>
      </w:r>
    </w:p>
    <w:p w14:paraId="36F83D5C" w14:textId="77777777" w:rsidR="00CA1275" w:rsidRDefault="0093185E" w:rsidP="00CA1275">
      <w:pPr>
        <w:pStyle w:val="-1ERG"/>
        <w:numPr>
          <w:ilvl w:val="0"/>
          <w:numId w:val="0"/>
        </w:numPr>
        <w:ind w:firstLine="851"/>
        <w:rPr>
          <w:lang w:val="en-US"/>
        </w:rPr>
      </w:pPr>
      <w:r w:rsidRPr="0093185E">
        <w:rPr>
          <w:lang w:val="en-US"/>
        </w:rPr>
        <w:t>b) participate in the development of effective and informed public policies on climate change by generating initiatives, expertise and commentary to ensure predictable long-term conditions that stimulate GHG emission reductions and promote a circular economy, including recycling and reuse of resources;</w:t>
      </w:r>
      <w:bookmarkStart w:id="29" w:name="OLE_LINK51"/>
      <w:bookmarkEnd w:id="27"/>
      <w:bookmarkEnd w:id="28"/>
    </w:p>
    <w:p w14:paraId="6C56D540" w14:textId="77777777" w:rsidR="00CA1275" w:rsidRDefault="00CA1275" w:rsidP="00CA1275">
      <w:pPr>
        <w:pStyle w:val="-1ERG"/>
        <w:numPr>
          <w:ilvl w:val="0"/>
          <w:numId w:val="0"/>
        </w:numPr>
        <w:ind w:firstLine="851"/>
        <w:rPr>
          <w:lang w:val="en-US"/>
        </w:rPr>
      </w:pPr>
      <w:r>
        <w:rPr>
          <w:lang w:val="en-US"/>
        </w:rPr>
        <w:t>c</w:t>
      </w:r>
      <w:r w:rsidRPr="00CA1275">
        <w:rPr>
          <w:lang w:val="en-US"/>
        </w:rPr>
        <w:t>) support workers and local communities in the Group's areas of operations whose jobs and well-being are critically threatened by the realization of climate risks, seeking to ensure a just transition to a low-carbon economy;</w:t>
      </w:r>
    </w:p>
    <w:p w14:paraId="5A3FE87E" w14:textId="77777777" w:rsidR="00CA1275" w:rsidRDefault="00CA1275" w:rsidP="00CA1275">
      <w:pPr>
        <w:pStyle w:val="-1ERG"/>
        <w:numPr>
          <w:ilvl w:val="0"/>
          <w:numId w:val="0"/>
        </w:numPr>
        <w:ind w:firstLine="851"/>
        <w:rPr>
          <w:lang w:val="en-US"/>
        </w:rPr>
      </w:pPr>
      <w:r>
        <w:rPr>
          <w:lang w:val="en-US"/>
        </w:rPr>
        <w:t>d</w:t>
      </w:r>
      <w:r w:rsidRPr="00CA1275">
        <w:rPr>
          <w:lang w:val="en-US"/>
        </w:rPr>
        <w:t>) stimulate innovation in low-carbon technologies through partnerships with metals and mining as well as technology and research companies, dedicated acceleration platfor</w:t>
      </w:r>
      <w:r>
        <w:rPr>
          <w:lang w:val="en-US"/>
        </w:rPr>
        <w:t xml:space="preserve">ms, and in other forms; </w:t>
      </w:r>
    </w:p>
    <w:p w14:paraId="60C70782" w14:textId="77777777" w:rsidR="00CA1275" w:rsidRPr="00CA1275" w:rsidRDefault="00CA1275" w:rsidP="00CA1275">
      <w:pPr>
        <w:pStyle w:val="-1ERG"/>
        <w:numPr>
          <w:ilvl w:val="0"/>
          <w:numId w:val="0"/>
        </w:numPr>
        <w:ind w:firstLine="851"/>
        <w:rPr>
          <w:lang w:val="en-US"/>
        </w:rPr>
      </w:pPr>
      <w:r>
        <w:rPr>
          <w:lang w:val="en-US"/>
        </w:rPr>
        <w:t>e</w:t>
      </w:r>
      <w:r w:rsidRPr="00CA1275">
        <w:rPr>
          <w:lang w:val="en-US"/>
        </w:rPr>
        <w:t xml:space="preserve">) use, where feasible and effective, sustainable financing instruments to meet the Group's climate change objectives, in line with the </w:t>
      </w:r>
      <w:r w:rsidRPr="00CA1275">
        <w:rPr>
          <w:color w:val="1F4E79" w:themeColor="accent1" w:themeShade="80"/>
          <w:u w:val="single"/>
          <w:lang w:val="en-US"/>
        </w:rPr>
        <w:t>ERG Green Finance Policy</w:t>
      </w:r>
      <w:r w:rsidRPr="00CA1275">
        <w:rPr>
          <w:lang w:val="en-US"/>
        </w:rPr>
        <w:t>.</w:t>
      </w:r>
    </w:p>
    <w:p w14:paraId="4E77E8FB" w14:textId="77777777" w:rsidR="003375BE" w:rsidRPr="00B206E2" w:rsidRDefault="00B206E2" w:rsidP="00B206E2">
      <w:pPr>
        <w:pStyle w:val="-2ERG"/>
        <w:ind w:left="786" w:hanging="360"/>
        <w:rPr>
          <w:sz w:val="24"/>
          <w:szCs w:val="24"/>
          <w:lang w:val="en-US"/>
        </w:rPr>
      </w:pPr>
      <w:bookmarkStart w:id="30" w:name="OLE_LINK52"/>
      <w:bookmarkStart w:id="31" w:name="OLE_LINK53"/>
      <w:bookmarkEnd w:id="29"/>
      <w:r w:rsidRPr="00B206E2">
        <w:rPr>
          <w:sz w:val="24"/>
          <w:szCs w:val="24"/>
          <w:lang w:val="en-US"/>
        </w:rPr>
        <w:t>Making climate reporting more transparent</w:t>
      </w:r>
    </w:p>
    <w:bookmarkEnd w:id="30"/>
    <w:bookmarkEnd w:id="31"/>
    <w:p w14:paraId="6931CE75" w14:textId="77777777" w:rsidR="003375BE" w:rsidRPr="00B206E2" w:rsidRDefault="00B206E2" w:rsidP="00B206E2">
      <w:pPr>
        <w:pStyle w:val="2ERG"/>
        <w:numPr>
          <w:ilvl w:val="0"/>
          <w:numId w:val="0"/>
        </w:numPr>
        <w:ind w:left="567"/>
        <w:rPr>
          <w:sz w:val="24"/>
          <w:szCs w:val="24"/>
          <w:lang w:val="en-US"/>
        </w:rPr>
      </w:pPr>
      <w:r>
        <w:rPr>
          <w:sz w:val="24"/>
          <w:szCs w:val="24"/>
          <w:lang w:val="en-US"/>
        </w:rPr>
        <w:t>The Group intends to:</w:t>
      </w:r>
    </w:p>
    <w:p w14:paraId="36CA4036" w14:textId="77777777" w:rsidR="00B206E2" w:rsidRPr="00B206E2" w:rsidRDefault="00B206E2" w:rsidP="00B206E2">
      <w:pPr>
        <w:pStyle w:val="-1ERG"/>
        <w:numPr>
          <w:ilvl w:val="0"/>
          <w:numId w:val="0"/>
        </w:numPr>
        <w:ind w:firstLine="851"/>
        <w:rPr>
          <w:lang w:val="en-US"/>
        </w:rPr>
      </w:pPr>
      <w:r w:rsidRPr="00B206E2">
        <w:rPr>
          <w:lang w:val="en-US"/>
        </w:rPr>
        <w:t>a) publish in the relevant annual reports (sustainability report, integrated report) the Group's GHG emissions inventory data starting from the 2022 results, and independently verified inventory data starting from the 2023 results;</w:t>
      </w:r>
    </w:p>
    <w:p w14:paraId="080E2C11" w14:textId="77777777" w:rsidR="00B206E2" w:rsidRPr="00B206E2" w:rsidRDefault="00B206E2" w:rsidP="00B206E2">
      <w:pPr>
        <w:pStyle w:val="-1ERG"/>
        <w:numPr>
          <w:ilvl w:val="0"/>
          <w:numId w:val="0"/>
        </w:numPr>
        <w:ind w:firstLine="851"/>
        <w:rPr>
          <w:lang w:val="en-US"/>
        </w:rPr>
      </w:pPr>
      <w:r w:rsidRPr="00B206E2">
        <w:rPr>
          <w:lang w:val="en-US"/>
        </w:rPr>
        <w:t>b) openly and transparently publish in the relevant annual reports (sustainability report, integrated report) the climate-related goals and targets, and report on the progress towards achieving the targets;</w:t>
      </w:r>
    </w:p>
    <w:p w14:paraId="22BD307D" w14:textId="77777777" w:rsidR="00B206E2" w:rsidRPr="00B206E2" w:rsidRDefault="00B206E2" w:rsidP="00B206E2">
      <w:pPr>
        <w:pStyle w:val="-1ERG"/>
        <w:numPr>
          <w:ilvl w:val="0"/>
          <w:numId w:val="0"/>
        </w:numPr>
        <w:ind w:firstLine="851"/>
        <w:rPr>
          <w:lang w:val="en-US"/>
        </w:rPr>
      </w:pPr>
      <w:r w:rsidRPr="00B206E2">
        <w:rPr>
          <w:lang w:val="en-US"/>
        </w:rPr>
        <w:t>c) expand the scope and content of climate-related reports, striving to comply with best practices, including taking into account TCFD requirements and recommendations.</w:t>
      </w:r>
    </w:p>
    <w:sectPr w:rsidR="00B206E2" w:rsidRPr="00B206E2" w:rsidSect="00C8428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A5183"/>
    <w:multiLevelType w:val="multilevel"/>
    <w:tmpl w:val="B22CCE9E"/>
    <w:lvl w:ilvl="0">
      <w:start w:val="1"/>
      <w:numFmt w:val="decimal"/>
      <w:pStyle w:val="1"/>
      <w:lvlText w:val="%1."/>
      <w:lvlJc w:val="left"/>
      <w:pPr>
        <w:ind w:left="928" w:hanging="360"/>
      </w:pPr>
      <w:rPr>
        <w:rFonts w:ascii="Times New Roman" w:hAnsi="Times New Roman" w:cs="Times New Roman" w:hint="default"/>
        <w:b/>
        <w:i w:val="0"/>
        <w:sz w:val="28"/>
      </w:rPr>
    </w:lvl>
    <w:lvl w:ilvl="1">
      <w:start w:val="1"/>
      <w:numFmt w:val="decimal"/>
      <w:pStyle w:val="-2ERG"/>
      <w:isLgl/>
      <w:lvlText w:val="%1.%2"/>
      <w:lvlJc w:val="left"/>
      <w:pPr>
        <w:ind w:left="786" w:hanging="360"/>
      </w:pPr>
    </w:lvl>
    <w:lvl w:ilvl="2">
      <w:start w:val="1"/>
      <w:numFmt w:val="decimal"/>
      <w:pStyle w:val="-3ERG"/>
      <w:isLgl/>
      <w:lvlText w:val="%1.%2.%3"/>
      <w:lvlJc w:val="left"/>
      <w:pPr>
        <w:ind w:left="1702" w:hanging="720"/>
      </w:pPr>
    </w:lvl>
    <w:lvl w:ilvl="3">
      <w:start w:val="1"/>
      <w:numFmt w:val="decimal"/>
      <w:pStyle w:val="3ERG"/>
      <w:isLgl/>
      <w:lvlText w:val="%1.%2.%3.%4"/>
      <w:lvlJc w:val="left"/>
      <w:pPr>
        <w:ind w:left="1909" w:hanging="720"/>
      </w:pPr>
      <w:rPr>
        <w:b w:val="0"/>
      </w:rPr>
    </w:lvl>
    <w:lvl w:ilvl="4">
      <w:start w:val="1"/>
      <w:numFmt w:val="russianLower"/>
      <w:pStyle w:val="-1ERG"/>
      <w:lvlText w:val="%5)"/>
      <w:lvlJc w:val="left"/>
      <w:pPr>
        <w:ind w:left="1648" w:hanging="1080"/>
      </w:pPr>
      <w:rPr>
        <w:rFonts w:ascii="Times New Roman" w:hAnsi="Times New Roman" w:cs="Times New Roman" w:hint="default"/>
        <w:b w:val="0"/>
        <w:i w:val="0"/>
        <w:sz w:val="24"/>
      </w:rPr>
    </w:lvl>
    <w:lvl w:ilvl="5">
      <w:start w:val="1"/>
      <w:numFmt w:val="decimal"/>
      <w:pStyle w:val="-2ERG0"/>
      <w:lvlText w:val="%6)"/>
      <w:lvlJc w:val="left"/>
      <w:pPr>
        <w:ind w:left="2640" w:hanging="1080"/>
      </w:pPr>
      <w:rPr>
        <w:rFonts w:ascii="Times New Roman" w:hAnsi="Times New Roman" w:cs="Times New Roman" w:hint="default"/>
        <w:b w:val="0"/>
        <w:i w:val="0"/>
        <w:sz w:val="24"/>
      </w:rPr>
    </w:lvl>
    <w:lvl w:ilvl="6">
      <w:start w:val="1"/>
      <w:numFmt w:val="decimal"/>
      <w:isLgl/>
      <w:lvlText w:val="%1.%2.%3.%4.%5.%6.%7"/>
      <w:lvlJc w:val="left"/>
      <w:pPr>
        <w:ind w:left="3250" w:hanging="1440"/>
      </w:pPr>
    </w:lvl>
    <w:lvl w:ilvl="7">
      <w:start w:val="1"/>
      <w:numFmt w:val="decimal"/>
      <w:isLgl/>
      <w:lvlText w:val="%1.%2.%3.%4.%5.%6.%7.%8"/>
      <w:lvlJc w:val="left"/>
      <w:pPr>
        <w:ind w:left="3457" w:hanging="1440"/>
      </w:pPr>
    </w:lvl>
    <w:lvl w:ilvl="8">
      <w:start w:val="1"/>
      <w:numFmt w:val="decimal"/>
      <w:isLgl/>
      <w:lvlText w:val="%1.%2.%3.%4.%5.%6.%7.%8.%9"/>
      <w:lvlJc w:val="left"/>
      <w:pPr>
        <w:ind w:left="4024" w:hanging="1800"/>
      </w:pPr>
    </w:lvl>
  </w:abstractNum>
  <w:abstractNum w:abstractNumId="1" w15:restartNumberingAfterBreak="0">
    <w:nsid w:val="4CDA0165"/>
    <w:multiLevelType w:val="hybridMultilevel"/>
    <w:tmpl w:val="ED4AF11E"/>
    <w:lvl w:ilvl="0" w:tplc="55F61ECC">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BE"/>
    <w:rsid w:val="001C6A2B"/>
    <w:rsid w:val="001F6F63"/>
    <w:rsid w:val="003375BE"/>
    <w:rsid w:val="00355AD5"/>
    <w:rsid w:val="00495FE6"/>
    <w:rsid w:val="005064D3"/>
    <w:rsid w:val="006014AD"/>
    <w:rsid w:val="00694E82"/>
    <w:rsid w:val="00715346"/>
    <w:rsid w:val="008506B3"/>
    <w:rsid w:val="0093185E"/>
    <w:rsid w:val="009F30AC"/>
    <w:rsid w:val="00A148C5"/>
    <w:rsid w:val="00AA59E6"/>
    <w:rsid w:val="00B206E2"/>
    <w:rsid w:val="00C6178D"/>
    <w:rsid w:val="00C84288"/>
    <w:rsid w:val="00CA1275"/>
    <w:rsid w:val="00CA4F39"/>
    <w:rsid w:val="00E30E11"/>
    <w:rsid w:val="00F129D8"/>
    <w:rsid w:val="00F14286"/>
    <w:rsid w:val="00F8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C958"/>
  <w15:chartTrackingRefBased/>
  <w15:docId w15:val="{DE559823-FFD3-47AC-BA22-E36AFA31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ERG)"/>
    <w:basedOn w:val="a0"/>
    <w:next w:val="1ERG"/>
    <w:link w:val="10"/>
    <w:uiPriority w:val="8"/>
    <w:qFormat/>
    <w:rsid w:val="003375BE"/>
    <w:pPr>
      <w:numPr>
        <w:numId w:val="1"/>
      </w:numPr>
      <w:tabs>
        <w:tab w:val="left" w:pos="1134"/>
      </w:tabs>
      <w:spacing w:before="240" w:after="240" w:line="240" w:lineRule="auto"/>
      <w:ind w:left="0" w:firstLine="567"/>
      <w:jc w:val="both"/>
      <w:outlineLvl w:val="0"/>
    </w:pPr>
    <w:rPr>
      <w:rFonts w:ascii="Times New Roman" w:eastAsia="Times New Roman" w:hAnsi="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ERG) Знак"/>
    <w:basedOn w:val="a1"/>
    <w:link w:val="1"/>
    <w:uiPriority w:val="8"/>
    <w:rsid w:val="003375BE"/>
    <w:rPr>
      <w:rFonts w:ascii="Times New Roman" w:eastAsia="Times New Roman" w:hAnsi="Times New Roman"/>
      <w:sz w:val="28"/>
      <w:szCs w:val="28"/>
    </w:rPr>
  </w:style>
  <w:style w:type="character" w:styleId="a4">
    <w:name w:val="Hyperlink"/>
    <w:basedOn w:val="a1"/>
    <w:uiPriority w:val="99"/>
    <w:semiHidden/>
    <w:unhideWhenUsed/>
    <w:rsid w:val="003375BE"/>
    <w:rPr>
      <w:color w:val="0563C1" w:themeColor="hyperlink"/>
      <w:u w:val="single"/>
    </w:rPr>
  </w:style>
  <w:style w:type="paragraph" w:customStyle="1" w:styleId="1ERG">
    <w:name w:val="Основной текст нумерованный 1 (ERG)"/>
    <w:basedOn w:val="-2ERG"/>
    <w:link w:val="1ERG0"/>
    <w:uiPriority w:val="12"/>
    <w:qFormat/>
    <w:rsid w:val="003375BE"/>
    <w:pPr>
      <w:spacing w:before="0" w:after="0"/>
      <w:outlineLvl w:val="9"/>
    </w:pPr>
    <w:rPr>
      <w:b w:val="0"/>
    </w:rPr>
  </w:style>
  <w:style w:type="character" w:customStyle="1" w:styleId="-2ERG1">
    <w:name w:val="Подразделы - уровень 2 (ERG) Знак"/>
    <w:basedOn w:val="10"/>
    <w:link w:val="-2ERG"/>
    <w:uiPriority w:val="9"/>
    <w:locked/>
    <w:rsid w:val="003375BE"/>
    <w:rPr>
      <w:rFonts w:ascii="Times New Roman" w:eastAsia="Times New Roman" w:hAnsi="Times New Roman"/>
      <w:b/>
      <w:sz w:val="28"/>
      <w:szCs w:val="28"/>
    </w:rPr>
  </w:style>
  <w:style w:type="paragraph" w:customStyle="1" w:styleId="2ERG">
    <w:name w:val="Основной текст нумерованный 2 (ERG)"/>
    <w:basedOn w:val="-3ERG"/>
    <w:link w:val="2ERG0"/>
    <w:uiPriority w:val="13"/>
    <w:qFormat/>
    <w:rsid w:val="003375BE"/>
    <w:pPr>
      <w:tabs>
        <w:tab w:val="clear" w:pos="1134"/>
        <w:tab w:val="left" w:pos="1276"/>
      </w:tabs>
      <w:spacing w:before="0" w:after="0"/>
      <w:outlineLvl w:val="9"/>
    </w:pPr>
    <w:rPr>
      <w:b w:val="0"/>
    </w:rPr>
  </w:style>
  <w:style w:type="paragraph" w:customStyle="1" w:styleId="-2ERG">
    <w:name w:val="Подразделы - уровень 2 (ERG)"/>
    <w:basedOn w:val="1"/>
    <w:next w:val="2ERG"/>
    <w:link w:val="-2ERG1"/>
    <w:uiPriority w:val="9"/>
    <w:qFormat/>
    <w:rsid w:val="003375BE"/>
    <w:pPr>
      <w:numPr>
        <w:ilvl w:val="1"/>
      </w:numPr>
      <w:ind w:left="0" w:firstLine="567"/>
    </w:pPr>
    <w:rPr>
      <w:b/>
    </w:rPr>
  </w:style>
  <w:style w:type="paragraph" w:customStyle="1" w:styleId="3ERG">
    <w:name w:val="Основной текст нумерованный 3 (ERG)"/>
    <w:basedOn w:val="-3ERG"/>
    <w:qFormat/>
    <w:rsid w:val="003375BE"/>
    <w:pPr>
      <w:numPr>
        <w:ilvl w:val="3"/>
      </w:numPr>
      <w:spacing w:before="0" w:after="0"/>
      <w:ind w:left="0" w:firstLine="567"/>
      <w:outlineLvl w:val="9"/>
    </w:pPr>
    <w:rPr>
      <w:b w:val="0"/>
    </w:rPr>
  </w:style>
  <w:style w:type="paragraph" w:customStyle="1" w:styleId="-3ERG">
    <w:name w:val="Подразделы - уровень 3 (ERG)"/>
    <w:basedOn w:val="-2ERG"/>
    <w:next w:val="3ERG"/>
    <w:uiPriority w:val="10"/>
    <w:qFormat/>
    <w:rsid w:val="003375BE"/>
    <w:pPr>
      <w:numPr>
        <w:ilvl w:val="2"/>
      </w:numPr>
      <w:tabs>
        <w:tab w:val="left" w:pos="851"/>
      </w:tabs>
      <w:ind w:left="0" w:firstLine="567"/>
      <w:outlineLvl w:val="2"/>
    </w:pPr>
  </w:style>
  <w:style w:type="character" w:customStyle="1" w:styleId="1ERG0">
    <w:name w:val="Основной текст нумерованный 1 (ERG) Знак"/>
    <w:basedOn w:val="-2ERG1"/>
    <w:link w:val="1ERG"/>
    <w:uiPriority w:val="12"/>
    <w:locked/>
    <w:rsid w:val="003375BE"/>
    <w:rPr>
      <w:rFonts w:ascii="Times New Roman" w:eastAsia="Times New Roman" w:hAnsi="Times New Roman"/>
      <w:b w:val="0"/>
      <w:sz w:val="28"/>
      <w:szCs w:val="28"/>
    </w:rPr>
  </w:style>
  <w:style w:type="character" w:customStyle="1" w:styleId="2ERG0">
    <w:name w:val="Основной текст нумерованный 2 (ERG) Знак"/>
    <w:basedOn w:val="a1"/>
    <w:link w:val="2ERG"/>
    <w:uiPriority w:val="13"/>
    <w:locked/>
    <w:rsid w:val="003375BE"/>
    <w:rPr>
      <w:rFonts w:ascii="Times New Roman" w:eastAsia="Times New Roman" w:hAnsi="Times New Roman"/>
      <w:sz w:val="28"/>
      <w:szCs w:val="28"/>
    </w:rPr>
  </w:style>
  <w:style w:type="paragraph" w:customStyle="1" w:styleId="-1ERG">
    <w:name w:val="Основной текст - список 1 (ERG)"/>
    <w:basedOn w:val="3ERG"/>
    <w:link w:val="-1ERG0"/>
    <w:uiPriority w:val="15"/>
    <w:qFormat/>
    <w:rsid w:val="003375BE"/>
    <w:pPr>
      <w:numPr>
        <w:ilvl w:val="4"/>
      </w:numPr>
      <w:tabs>
        <w:tab w:val="clear" w:pos="1134"/>
        <w:tab w:val="left" w:pos="1276"/>
      </w:tabs>
      <w:ind w:left="0" w:firstLine="851"/>
    </w:pPr>
    <w:rPr>
      <w:sz w:val="24"/>
      <w:szCs w:val="24"/>
    </w:rPr>
  </w:style>
  <w:style w:type="character" w:customStyle="1" w:styleId="-1ERG0">
    <w:name w:val="Основной текст - список 1 (ERG) Знак"/>
    <w:basedOn w:val="a1"/>
    <w:link w:val="-1ERG"/>
    <w:uiPriority w:val="15"/>
    <w:locked/>
    <w:rsid w:val="003375BE"/>
    <w:rPr>
      <w:rFonts w:ascii="Times New Roman" w:eastAsia="Times New Roman" w:hAnsi="Times New Roman"/>
      <w:sz w:val="24"/>
      <w:szCs w:val="24"/>
    </w:rPr>
  </w:style>
  <w:style w:type="paragraph" w:customStyle="1" w:styleId="-2ERG0">
    <w:name w:val="Основной текст - список 2 (ERG)"/>
    <w:basedOn w:val="-1ERG"/>
    <w:uiPriority w:val="16"/>
    <w:qFormat/>
    <w:rsid w:val="003375BE"/>
    <w:pPr>
      <w:numPr>
        <w:ilvl w:val="5"/>
      </w:numPr>
      <w:tabs>
        <w:tab w:val="num" w:pos="360"/>
        <w:tab w:val="left" w:pos="1560"/>
      </w:tabs>
      <w:ind w:left="0" w:firstLine="1134"/>
    </w:pPr>
  </w:style>
  <w:style w:type="paragraph" w:styleId="a0">
    <w:name w:val="List Paragraph"/>
    <w:basedOn w:val="a"/>
    <w:uiPriority w:val="34"/>
    <w:qFormat/>
    <w:rsid w:val="003375BE"/>
    <w:pPr>
      <w:ind w:left="720"/>
      <w:contextualSpacing/>
    </w:pPr>
  </w:style>
  <w:style w:type="character" w:styleId="a5">
    <w:name w:val="annotation reference"/>
    <w:basedOn w:val="a1"/>
    <w:uiPriority w:val="99"/>
    <w:semiHidden/>
    <w:unhideWhenUsed/>
    <w:rsid w:val="006014AD"/>
    <w:rPr>
      <w:sz w:val="16"/>
      <w:szCs w:val="16"/>
    </w:rPr>
  </w:style>
  <w:style w:type="paragraph" w:styleId="a6">
    <w:name w:val="annotation text"/>
    <w:basedOn w:val="a"/>
    <w:link w:val="a7"/>
    <w:uiPriority w:val="99"/>
    <w:semiHidden/>
    <w:unhideWhenUsed/>
    <w:rsid w:val="006014AD"/>
    <w:pPr>
      <w:spacing w:line="240" w:lineRule="auto"/>
    </w:pPr>
    <w:rPr>
      <w:sz w:val="20"/>
      <w:szCs w:val="20"/>
    </w:rPr>
  </w:style>
  <w:style w:type="character" w:customStyle="1" w:styleId="a7">
    <w:name w:val="Текст примечания Знак"/>
    <w:basedOn w:val="a1"/>
    <w:link w:val="a6"/>
    <w:uiPriority w:val="99"/>
    <w:semiHidden/>
    <w:rsid w:val="006014AD"/>
    <w:rPr>
      <w:sz w:val="20"/>
      <w:szCs w:val="20"/>
    </w:rPr>
  </w:style>
  <w:style w:type="paragraph" w:styleId="a8">
    <w:name w:val="annotation subject"/>
    <w:basedOn w:val="a6"/>
    <w:next w:val="a6"/>
    <w:link w:val="a9"/>
    <w:uiPriority w:val="99"/>
    <w:semiHidden/>
    <w:unhideWhenUsed/>
    <w:rsid w:val="006014AD"/>
    <w:rPr>
      <w:b/>
      <w:bCs/>
    </w:rPr>
  </w:style>
  <w:style w:type="character" w:customStyle="1" w:styleId="a9">
    <w:name w:val="Тема примечания Знак"/>
    <w:basedOn w:val="a7"/>
    <w:link w:val="a8"/>
    <w:uiPriority w:val="99"/>
    <w:semiHidden/>
    <w:rsid w:val="006014AD"/>
    <w:rPr>
      <w:b/>
      <w:bCs/>
      <w:sz w:val="20"/>
      <w:szCs w:val="20"/>
    </w:rPr>
  </w:style>
  <w:style w:type="paragraph" w:styleId="aa">
    <w:name w:val="Balloon Text"/>
    <w:basedOn w:val="a"/>
    <w:link w:val="ab"/>
    <w:uiPriority w:val="99"/>
    <w:semiHidden/>
    <w:unhideWhenUsed/>
    <w:rsid w:val="006014A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601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85207">
      <w:bodyDiv w:val="1"/>
      <w:marLeft w:val="0"/>
      <w:marRight w:val="0"/>
      <w:marTop w:val="0"/>
      <w:marBottom w:val="0"/>
      <w:divBdr>
        <w:top w:val="none" w:sz="0" w:space="0" w:color="auto"/>
        <w:left w:val="none" w:sz="0" w:space="0" w:color="auto"/>
        <w:bottom w:val="none" w:sz="0" w:space="0" w:color="auto"/>
        <w:right w:val="none" w:sz="0" w:space="0" w:color="auto"/>
      </w:divBdr>
    </w:div>
    <w:div w:id="1039816465">
      <w:bodyDiv w:val="1"/>
      <w:marLeft w:val="0"/>
      <w:marRight w:val="0"/>
      <w:marTop w:val="0"/>
      <w:marBottom w:val="0"/>
      <w:divBdr>
        <w:top w:val="none" w:sz="0" w:space="0" w:color="auto"/>
        <w:left w:val="none" w:sz="0" w:space="0" w:color="auto"/>
        <w:bottom w:val="none" w:sz="0" w:space="0" w:color="auto"/>
        <w:right w:val="none" w:sz="0" w:space="0" w:color="auto"/>
      </w:divBdr>
    </w:div>
    <w:div w:id="1645503699">
      <w:bodyDiv w:val="1"/>
      <w:marLeft w:val="0"/>
      <w:marRight w:val="0"/>
      <w:marTop w:val="0"/>
      <w:marBottom w:val="0"/>
      <w:divBdr>
        <w:top w:val="none" w:sz="0" w:space="0" w:color="auto"/>
        <w:left w:val="none" w:sz="0" w:space="0" w:color="auto"/>
        <w:bottom w:val="none" w:sz="0" w:space="0" w:color="auto"/>
        <w:right w:val="none" w:sz="0" w:space="0" w:color="auto"/>
      </w:divBdr>
    </w:div>
    <w:div w:id="1658067750">
      <w:bodyDiv w:val="1"/>
      <w:marLeft w:val="0"/>
      <w:marRight w:val="0"/>
      <w:marTop w:val="0"/>
      <w:marBottom w:val="0"/>
      <w:divBdr>
        <w:top w:val="none" w:sz="0" w:space="0" w:color="auto"/>
        <w:left w:val="none" w:sz="0" w:space="0" w:color="auto"/>
        <w:bottom w:val="none" w:sz="0" w:space="0" w:color="auto"/>
        <w:right w:val="none" w:sz="0" w:space="0" w:color="auto"/>
      </w:divBdr>
    </w:div>
    <w:div w:id="1669744655">
      <w:bodyDiv w:val="1"/>
      <w:marLeft w:val="0"/>
      <w:marRight w:val="0"/>
      <w:marTop w:val="0"/>
      <w:marBottom w:val="0"/>
      <w:divBdr>
        <w:top w:val="none" w:sz="0" w:space="0" w:color="auto"/>
        <w:left w:val="none" w:sz="0" w:space="0" w:color="auto"/>
        <w:bottom w:val="none" w:sz="0" w:space="0" w:color="auto"/>
        <w:right w:val="none" w:sz="0" w:space="0" w:color="auto"/>
      </w:divBdr>
    </w:div>
    <w:div w:id="18048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4792</Characters>
  <Application>Microsoft Office Word</Application>
  <DocSecurity>0</DocSecurity>
  <Lines>86</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Posypanko</dc:creator>
  <cp:keywords/>
  <dc:description/>
  <cp:lastModifiedBy>Sauya Seipenova</cp:lastModifiedBy>
  <cp:revision>3</cp:revision>
  <dcterms:created xsi:type="dcterms:W3CDTF">2023-03-15T07:12:00Z</dcterms:created>
  <dcterms:modified xsi:type="dcterms:W3CDTF">2023-03-15T13:17:00Z</dcterms:modified>
</cp:coreProperties>
</file>